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E9" w:rsidRDefault="00B564E9" w:rsidP="00B564E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B564E9" w:rsidRDefault="00B564E9" w:rsidP="00B564E9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457700" cy="542925"/>
                <wp:effectExtent l="19050" t="9525" r="8890" b="9525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5770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64E9" w:rsidRDefault="00B564E9" w:rsidP="00B564E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西 部 律 师 发 展 论 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width:351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" filled="f" stroked="f">
                <o:lock v:ext="edit" shapetype="t"/>
                <v:textbox style="mso-fit-shape-to-text:t">
                  <w:txbxContent>
                    <w:p w:rsidR="00B564E9" w:rsidRDefault="00B564E9" w:rsidP="00B564E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color w:val="FF0000"/>
                          <w:sz w:val="72"/>
                          <w:szCs w:val="72"/>
                          <w14:textOutline w14:w="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西 部 律 师 发 展 论 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64E9" w:rsidRDefault="00B564E9" w:rsidP="00B564E9">
      <w:pPr>
        <w:rPr>
          <w:sz w:val="32"/>
          <w:szCs w:val="32"/>
        </w:rPr>
      </w:pPr>
    </w:p>
    <w:p w:rsidR="00B564E9" w:rsidRDefault="00B564E9" w:rsidP="00B564E9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西律发〔2017〕1号</w:t>
      </w:r>
    </w:p>
    <w:p w:rsidR="00B564E9" w:rsidRDefault="00B564E9" w:rsidP="00B564E9">
      <w:pPr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仿宋_GB2312" w:eastAsia="仿宋_GB2312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6350</wp:posOffset>
                </wp:positionV>
                <wp:extent cx="5636895" cy="0"/>
                <wp:effectExtent l="11430" t="11430" r="19050" b="1714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89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F81F1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.5pt" to="443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t+LwIAADQ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" strokecolor="red" strokeweight="1.75pt"/>
            </w:pict>
          </mc:Fallback>
        </mc:AlternateContent>
      </w:r>
    </w:p>
    <w:p w:rsidR="00B564E9" w:rsidRDefault="00B564E9" w:rsidP="00B564E9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关于征集第九届西部律师发展论坛</w:t>
      </w:r>
    </w:p>
    <w:p w:rsidR="00B564E9" w:rsidRDefault="00B564E9" w:rsidP="00B564E9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优秀论文的通知</w:t>
      </w:r>
      <w:bookmarkEnd w:id="0"/>
    </w:p>
    <w:p w:rsidR="00B564E9" w:rsidRDefault="00B564E9" w:rsidP="00B564E9">
      <w:pPr>
        <w:rPr>
          <w:rFonts w:ascii="仿宋" w:eastAsia="仿宋" w:hAnsi="仿宋" w:hint="eastAsia"/>
          <w:sz w:val="32"/>
          <w:szCs w:val="32"/>
        </w:rPr>
      </w:pPr>
    </w:p>
    <w:p w:rsidR="00B564E9" w:rsidRDefault="00B564E9" w:rsidP="00B564E9">
      <w:pPr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重庆、陕西、广西、内蒙古、云南、新疆、新疆生产建设兵团、四川、甘肃、青海、西藏、宁夏、海南、山西、贵州省（自治区、直辖市）律师协会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B564E9" w:rsidRDefault="00B564E9" w:rsidP="00B564E9">
      <w:pPr>
        <w:spacing w:line="360" w:lineRule="auto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根据西部律师发展论坛组委会的安排，第九届西部律师发展论坛拟定于2017年8月底在贵州省贵阳市举办，由贵州省律师协会承办，</w:t>
      </w:r>
      <w:r>
        <w:rPr>
          <w:rFonts w:ascii="仿宋_GB2312" w:eastAsia="仿宋_GB2312" w:hAnsi="仿宋" w:hint="eastAsia"/>
          <w:sz w:val="32"/>
          <w:szCs w:val="32"/>
        </w:rPr>
        <w:t>现面向西部律师发展论坛主办单位的十四个省（自治区、直辖市）及新疆建设兵团的广大律师征集优秀论文并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通知如下：</w:t>
      </w:r>
    </w:p>
    <w:p w:rsidR="00B564E9" w:rsidRDefault="00B564E9" w:rsidP="00B564E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一、论坛主题：</w:t>
      </w:r>
      <w:r>
        <w:rPr>
          <w:rFonts w:ascii="仿宋" w:eastAsia="仿宋" w:hAnsi="仿宋" w:cs="仿宋" w:hint="eastAsia"/>
          <w:sz w:val="32"/>
          <w:szCs w:val="32"/>
        </w:rPr>
        <w:t xml:space="preserve">法治精神、律师使命、助推西部跨越发展   </w:t>
      </w:r>
    </w:p>
    <w:p w:rsidR="00B564E9" w:rsidRDefault="00B564E9" w:rsidP="00B564E9">
      <w:pPr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二、论坛设六个分论坛</w:t>
      </w:r>
    </w:p>
    <w:p w:rsidR="00B564E9" w:rsidRDefault="00B564E9" w:rsidP="00B564E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分论坛一：</w:t>
      </w:r>
      <w:r>
        <w:rPr>
          <w:rFonts w:ascii="仿宋" w:eastAsia="仿宋" w:hAnsi="仿宋" w:cs="仿宋" w:hint="eastAsia"/>
          <w:sz w:val="32"/>
          <w:szCs w:val="32"/>
        </w:rPr>
        <w:t xml:space="preserve">民商事法律业务分论坛 </w:t>
      </w:r>
    </w:p>
    <w:p w:rsidR="00B564E9" w:rsidRDefault="00B564E9" w:rsidP="00B564E9">
      <w:pPr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分论坛二：</w:t>
      </w:r>
      <w:r>
        <w:rPr>
          <w:rFonts w:ascii="仿宋" w:eastAsia="仿宋" w:hAnsi="仿宋" w:cs="仿宋" w:hint="eastAsia"/>
          <w:sz w:val="32"/>
          <w:szCs w:val="32"/>
        </w:rPr>
        <w:t>刑事法律业务分论坛</w:t>
      </w:r>
    </w:p>
    <w:p w:rsidR="00B564E9" w:rsidRDefault="00B564E9" w:rsidP="00B564E9">
      <w:pPr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分论坛三：</w:t>
      </w:r>
      <w:r>
        <w:rPr>
          <w:rFonts w:ascii="仿宋" w:eastAsia="仿宋" w:hAnsi="仿宋" w:cs="仿宋" w:hint="eastAsia"/>
          <w:sz w:val="32"/>
          <w:szCs w:val="32"/>
        </w:rPr>
        <w:t>行政法律业务分论坛</w:t>
      </w:r>
    </w:p>
    <w:p w:rsidR="00B564E9" w:rsidRDefault="00B564E9" w:rsidP="00B564E9">
      <w:pPr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分论坛四：</w:t>
      </w:r>
      <w:r>
        <w:rPr>
          <w:rFonts w:ascii="仿宋" w:eastAsia="仿宋" w:hAnsi="仿宋" w:cs="仿宋" w:hint="eastAsia"/>
          <w:sz w:val="32"/>
          <w:szCs w:val="32"/>
        </w:rPr>
        <w:t>律师事务所管理与律师社会责任分论坛</w:t>
      </w:r>
    </w:p>
    <w:p w:rsidR="00B564E9" w:rsidRDefault="00B564E9" w:rsidP="00B564E9">
      <w:pPr>
        <w:ind w:leftChars="302" w:left="634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分论坛五：</w:t>
      </w:r>
      <w:r>
        <w:rPr>
          <w:rFonts w:ascii="仿宋" w:eastAsia="仿宋" w:hAnsi="仿宋" w:cs="仿宋" w:hint="eastAsia"/>
          <w:sz w:val="32"/>
          <w:szCs w:val="32"/>
        </w:rPr>
        <w:t>青年律师发展分论坛</w:t>
      </w:r>
    </w:p>
    <w:p w:rsidR="00B564E9" w:rsidRDefault="00B564E9" w:rsidP="00B564E9">
      <w:pPr>
        <w:ind w:leftChars="302" w:left="634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分论坛六：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生态文明法律服务分论坛</w:t>
      </w:r>
    </w:p>
    <w:p w:rsidR="00B564E9" w:rsidRDefault="00B564E9" w:rsidP="00B564E9">
      <w:pPr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分论坛期间，邀请各省（自治区、直辖市）及新疆生产建设兵团司法厅（局）分管领导、律管处长和律协会长、秘书长参加“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律师行业管理经验交流座谈会”</w:t>
      </w:r>
      <w:r>
        <w:rPr>
          <w:rFonts w:ascii="仿宋_GB2312" w:eastAsia="仿宋_GB2312" w:hAnsi="仿宋" w:hint="eastAsia"/>
          <w:sz w:val="32"/>
          <w:szCs w:val="32"/>
        </w:rPr>
        <w:t>，交流新形势下“两结合”管理中的经验与做法。请从不同角度准备发言材料或论文于2017年7月5日前发至论文征集专用邮箱。</w:t>
      </w:r>
    </w:p>
    <w:p w:rsidR="00B564E9" w:rsidRDefault="00B564E9" w:rsidP="00B564E9">
      <w:pPr>
        <w:ind w:firstLineChars="196" w:firstLine="627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三、论文要求</w:t>
      </w:r>
    </w:p>
    <w:p w:rsidR="00B564E9" w:rsidRDefault="00B564E9" w:rsidP="00B564E9">
      <w:pPr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论文</w:t>
      </w:r>
      <w:r>
        <w:rPr>
          <w:rFonts w:ascii="仿宋_GB2312" w:eastAsia="仿宋_GB2312" w:hAnsi="仿宋" w:hint="eastAsia"/>
          <w:sz w:val="32"/>
          <w:szCs w:val="32"/>
        </w:rPr>
        <w:t>应</w:t>
      </w:r>
      <w:r>
        <w:rPr>
          <w:rFonts w:ascii="仿宋_GB2312" w:eastAsia="仿宋_GB2312" w:hAnsi="仿宋"/>
          <w:sz w:val="32"/>
          <w:szCs w:val="32"/>
        </w:rPr>
        <w:t>围绕论坛主题和论文参考选题撰写(见附件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)，也可在参考选题范围外自选题目撰写，但要紧扣主题，体现论坛的主题思想。论文字数限制在3000--4000字。</w:t>
      </w:r>
    </w:p>
    <w:p w:rsidR="00B564E9" w:rsidRDefault="00B564E9" w:rsidP="00B564E9">
      <w:pPr>
        <w:ind w:firstLineChars="196" w:firstLine="627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律师应当自行撰写论文，不得侵犯他人著作权。论文应当为未公开发表的原创文章。</w:t>
      </w:r>
    </w:p>
    <w:p w:rsidR="00B564E9" w:rsidRDefault="00B564E9" w:rsidP="00B564E9">
      <w:pPr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提交的论文应有标题、正文、结论、参考文献和注释。</w:t>
      </w:r>
    </w:p>
    <w:p w:rsidR="00B564E9" w:rsidRDefault="00B564E9" w:rsidP="00B564E9">
      <w:pPr>
        <w:ind w:firstLineChars="196" w:firstLine="627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四、论文排版格式要求</w:t>
      </w:r>
    </w:p>
    <w:p w:rsidR="00B564E9" w:rsidRDefault="00B564E9" w:rsidP="00B564E9">
      <w:pPr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根据出版社的要求，对论文排版格式做出如下统一规定：</w:t>
      </w:r>
    </w:p>
    <w:p w:rsidR="00B564E9" w:rsidRDefault="00B564E9" w:rsidP="00B564E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1.标题：宋体，小二号，加粗，居中；</w:t>
      </w:r>
    </w:p>
    <w:p w:rsidR="00B564E9" w:rsidRDefault="00B564E9" w:rsidP="00B564E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2.标题下注明作者所在律师事务所、作者姓名:宋体，四号字，居中；</w:t>
      </w:r>
    </w:p>
    <w:p w:rsidR="00B564E9" w:rsidRDefault="00B564E9" w:rsidP="00B564E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3.正文（含副标题）：宋体，四号字；</w:t>
      </w:r>
    </w:p>
    <w:p w:rsidR="00B564E9" w:rsidRDefault="00B564E9" w:rsidP="00B564E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4.结论：宋体，四号字；</w:t>
      </w:r>
    </w:p>
    <w:p w:rsidR="00B564E9" w:rsidRDefault="00B564E9" w:rsidP="00B564E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5.参考文献和注释：宋体，五号字；</w:t>
      </w:r>
    </w:p>
    <w:p w:rsidR="00B564E9" w:rsidRDefault="00B564E9" w:rsidP="00B564E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6.页边距：上、下均为2.54cm，左、右均为2.5cm，文档网格14.3（均在页面设置里调整）。</w:t>
      </w:r>
    </w:p>
    <w:p w:rsidR="00B564E9" w:rsidRDefault="00B564E9" w:rsidP="00B564E9">
      <w:pPr>
        <w:ind w:firstLineChars="196" w:firstLine="627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五、论文征集、评审的时间安排</w:t>
      </w:r>
    </w:p>
    <w:p w:rsidR="00B564E9" w:rsidRDefault="00B564E9" w:rsidP="00B564E9">
      <w:pPr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/>
          <w:sz w:val="32"/>
          <w:szCs w:val="32"/>
        </w:rPr>
        <w:t>论文征集</w:t>
      </w:r>
      <w:r>
        <w:rPr>
          <w:rFonts w:ascii="仿宋_GB2312" w:eastAsia="仿宋_GB2312" w:hAnsi="仿宋" w:hint="eastAsia"/>
          <w:sz w:val="32"/>
          <w:szCs w:val="32"/>
        </w:rPr>
        <w:t>时间</w:t>
      </w:r>
      <w:r>
        <w:rPr>
          <w:rFonts w:ascii="仿宋_GB2312" w:eastAsia="仿宋_GB2312" w:hAnsi="仿宋"/>
          <w:sz w:val="32"/>
          <w:szCs w:val="32"/>
        </w:rPr>
        <w:t>：201</w:t>
      </w:r>
      <w:r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15</w:t>
      </w:r>
      <w:r>
        <w:rPr>
          <w:rFonts w:ascii="仿宋_GB2312" w:eastAsia="仿宋_GB2312" w:hAnsi="仿宋"/>
          <w:sz w:val="32"/>
          <w:szCs w:val="32"/>
        </w:rPr>
        <w:t>日至</w:t>
      </w: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30</w:t>
      </w:r>
      <w:r>
        <w:rPr>
          <w:rFonts w:ascii="仿宋_GB2312" w:eastAsia="仿宋_GB2312" w:hAnsi="仿宋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各省市区律师协会，务必于2017年7月5日以前，将论文征集信息汇总表（附件2）及优秀论文，发送至论文征集专门邮箱，请在邮件“主题”栏中注明“第九届西部律师发展论坛论文—XXX律师协会”。由于人力有限，本届论坛组委会不接受律师个人的投稿，请予以理解、支持。</w:t>
      </w:r>
    </w:p>
    <w:p w:rsidR="00B564E9" w:rsidRDefault="00B564E9" w:rsidP="00B564E9">
      <w:pPr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2.论文评选：由各省市区律师协会按照获奖论文的数量分配（见附件3）组织专家对论文进行评选。</w:t>
      </w:r>
    </w:p>
    <w:p w:rsidR="00B564E9" w:rsidRDefault="00B564E9" w:rsidP="00B564E9">
      <w:pPr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3.论坛组委会将对各省（自治区、直辖市）及新疆生产建设兵团律师协会提交的获奖论文进行审核。2017年7月5日之后提交的论文，不再纳入论文征集评选及出版的范围。</w:t>
      </w:r>
    </w:p>
    <w:p w:rsidR="00B564E9" w:rsidRDefault="00B564E9" w:rsidP="00B564E9">
      <w:pPr>
        <w:ind w:firstLineChars="196" w:firstLine="627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注意事项</w:t>
      </w:r>
    </w:p>
    <w:p w:rsidR="00B564E9" w:rsidRDefault="00B564E9" w:rsidP="00B564E9">
      <w:pPr>
        <w:ind w:firstLine="63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论文主要用于会议交流，无稿酬。论文一经投稿，视为同意授权组委会刊印出版。</w:t>
      </w:r>
    </w:p>
    <w:p w:rsidR="00B564E9" w:rsidRDefault="00B564E9" w:rsidP="00B564E9">
      <w:pPr>
        <w:ind w:firstLine="63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B564E9" w:rsidRDefault="00B564E9" w:rsidP="00B564E9">
      <w:pPr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附件1：第九届西部律师发展论坛论文参考题目</w:t>
      </w:r>
    </w:p>
    <w:p w:rsidR="00B564E9" w:rsidRDefault="00B564E9" w:rsidP="00B564E9">
      <w:pPr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</w:p>
    <w:p w:rsidR="00B564E9" w:rsidRDefault="00B564E9" w:rsidP="00B564E9">
      <w:pPr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西部律师发展论坛组委会</w:t>
      </w:r>
    </w:p>
    <w:p w:rsidR="00B564E9" w:rsidRDefault="00B564E9" w:rsidP="00B564E9">
      <w:pPr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2017年5月15日</w:t>
      </w:r>
      <w:r>
        <w:rPr>
          <w:rFonts w:ascii="仿宋_GB2312" w:eastAsia="仿宋_GB2312" w:hAnsi="仿宋"/>
          <w:sz w:val="32"/>
          <w:szCs w:val="32"/>
        </w:rPr>
        <w:t xml:space="preserve"> </w:t>
      </w:r>
    </w:p>
    <w:p w:rsidR="00B564E9" w:rsidRDefault="00B564E9" w:rsidP="00B564E9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B564E9" w:rsidRDefault="00B564E9" w:rsidP="00B564E9">
      <w:pPr>
        <w:spacing w:line="360" w:lineRule="auto"/>
        <w:jc w:val="center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第九届西部律师发展论坛论文参考题目</w:t>
      </w:r>
    </w:p>
    <w:p w:rsidR="00B564E9" w:rsidRDefault="00B564E9" w:rsidP="00B564E9">
      <w:pPr>
        <w:spacing w:line="360" w:lineRule="auto"/>
        <w:jc w:val="center"/>
        <w:rPr>
          <w:rFonts w:ascii="方正小标宋简体" w:eastAsia="方正小标宋简体" w:hAnsi="仿宋" w:hint="eastAsia"/>
          <w:sz w:val="36"/>
          <w:szCs w:val="36"/>
        </w:rPr>
      </w:pPr>
    </w:p>
    <w:p w:rsidR="00B564E9" w:rsidRDefault="00B564E9" w:rsidP="00B564E9">
      <w:pPr>
        <w:spacing w:line="360" w:lineRule="auto"/>
        <w:ind w:firstLine="56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一：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民商事法律业务分论坛</w:t>
      </w:r>
    </w:p>
    <w:p w:rsidR="00B564E9" w:rsidRDefault="00B564E9" w:rsidP="00B564E9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1.民法总则视野下个人信息权的内涵与外延</w:t>
      </w:r>
    </w:p>
    <w:p w:rsidR="00B564E9" w:rsidRDefault="00B564E9" w:rsidP="00B564E9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2.户籍改革背景下对“同命同价”问题的思考</w:t>
      </w:r>
    </w:p>
    <w:p w:rsidR="00B564E9" w:rsidRDefault="00B564E9" w:rsidP="00B564E9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3.P2P网络贷款平台的法律风险</w:t>
      </w:r>
    </w:p>
    <w:p w:rsidR="00B564E9" w:rsidRDefault="00B564E9" w:rsidP="00B564E9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4.合同法中不安抗辩权制度在实践中的运用</w:t>
      </w:r>
    </w:p>
    <w:p w:rsidR="00B564E9" w:rsidRDefault="00B564E9" w:rsidP="00B564E9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5.对合同解除制度在实践中疑难问题的思考</w:t>
      </w:r>
    </w:p>
    <w:p w:rsidR="00B564E9" w:rsidRDefault="00B564E9" w:rsidP="00B564E9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6.以物抵债合同效力的分析与思考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7.表见代理在实践中存在的问题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8.债权转让过程中的法律问题分析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9.股东优先购买权在继承和赠与案中的适用探讨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10.股权转让中目标公司的隐性债务赔偿机制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11.处置地下停车位相关问题的法律分析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12.夫妻共同债务的判断与认定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13.刑民交叉案件中的合同效力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14.案外人对生效民事判决的救济途径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15.先予执行的理论与实践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16.实现担保物权特别程序的疑难问题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17.强制执行程序中追加被执行人的法律依据及实务操作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18.执行程序中一套住房处置的实际操作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19.情势变更情形的认定与法律适用</w:t>
      </w:r>
    </w:p>
    <w:p w:rsidR="00B564E9" w:rsidRPr="00F93513" w:rsidRDefault="00B564E9" w:rsidP="00B564E9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20.效力性强制性规范和管理性强制性规范的认定</w:t>
      </w:r>
    </w:p>
    <w:p w:rsidR="00B564E9" w:rsidRDefault="00B564E9" w:rsidP="00B564E9">
      <w:pPr>
        <w:spacing w:line="360" w:lineRule="auto"/>
        <w:ind w:firstLine="567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二：刑事法律业务分论坛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1.职务犯罪中准自首的认定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2.关于新刑事诉讼下的刑事和解制度研究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3.刑事辩护律师执业权利的有效保障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4.未成年人犯罪量刑研究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5.国家工作人员收受具有上下级关系的下属财物的认定问题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6.刑事证据的审查与认定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7.刑事辩护中的法律风险防范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8.职务犯罪案件辩护技巧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9.辩析疑罪从无与实践中的疑罪从轻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10.排除非法证据的困境与对策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11.法学理论在刑事辩护中的运用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12.刑事辩护的技巧与策略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13.以审判为中心诉讼制度改革对律师刑事辩护的机遇与挑战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14.审判为中心语境下的非法证据排除问题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15.司法改革与有效辩护</w:t>
      </w:r>
    </w:p>
    <w:p w:rsidR="00B564E9" w:rsidRDefault="00B564E9" w:rsidP="00B564E9">
      <w:pPr>
        <w:spacing w:line="360" w:lineRule="auto"/>
        <w:ind w:firstLine="567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三：行政法律业务分论坛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1.政府法律服务市场的新动向与发展趋势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2.行政争议的多元解决机制研究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3.简政放权背景下行政法律制度的衔接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4.行政机关法定代表人出庭制度施行中的问题及解决办法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5.论行政赔偿案件中法官的自由裁量权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6.律师办理行政案件的互联网思维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7.地方政府权力清单制度研究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8.律师参与西部地区立法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9.政府与社会资本合作的法律问题研究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10.西部地区城市综合行政执法问题研究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11.第三方立法评估制度研究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12.西部地区行政执法体制改革研究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13.西部地区农地征收中的公共利益问题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14.西部地区网约车市场经营秩序法律问题研究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15.行政程序与责任机制研究</w:t>
      </w:r>
    </w:p>
    <w:p w:rsidR="00B564E9" w:rsidRDefault="00B564E9" w:rsidP="00B564E9">
      <w:pPr>
        <w:ind w:firstLineChars="196" w:firstLine="630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四：律师事务所管理与律师社会责任分论坛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1.公司化一体化管理模式与传统管理模式的选择与融合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2.律所差异化发展的可能和路径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3.西部律所发展的困境与突破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4.律所人才培养与传承的思考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5.律师跨界发展与律所增值服务的探索与创新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6.人工智能时代律所面临的挑战及应对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7.律所服务收费模式和策略的探索与创新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8.律所文化对律师行业发展的作用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9.律师在民主与法治建设中的地位与作用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10.资本投资律师事务所的可行性研究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11.律师事务所收入分配机制研究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12.律师事务所的品牌传承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13.律师事务所总所与分所一体化研究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14.律师事务所专职经理人管理的作用与必要性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15.律师行业自治问题研究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16.律师事务所专业化建设的理论与实践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17.西部地区后发赶超过程中律师地位与作用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18.大数据条件下司法改革中律师参与机制与作用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 w:hint="eastAsia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19.西部地区国际法律业务与实践</w:t>
      </w:r>
    </w:p>
    <w:p w:rsidR="00B564E9" w:rsidRDefault="00B564E9" w:rsidP="00B564E9">
      <w:pPr>
        <w:ind w:leftChars="302" w:left="634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五：青年律师发展分论坛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1.青年律师的梦想 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2.在法治中国.法治政府的大背景下，青年律师如何把握机遇.迎接挑战；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3.青年律师在当前法治新形态下如何进行职业规划；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4.青年律师在律师行业中的传承与未来              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5.青年律师与公益法律服务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6.青年律师“业务创新”面临的困境与突破  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7.青年律师如何在业务拓展与职业发展中求平衡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8.律师协会如何搭建好青年律师发展的平台     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9.青年律师应当具备的基本社会素养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10.青年律师专业化之路                      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11.律师如何成为好徒弟，如何成为好师父      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12.如何提高青年律师的社会竞争力            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13.“一带一路”中青年律师的发展机遇与挑战    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14.案源拓展的核心要素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15.大数据和互联网对青年律师的影响和意义    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16.青年律师的政治参与和司改参与            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17.如何培养青年律师领军人物           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18.西部县域青年律师的坚守和创新            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19.青年律师如何参与律所管理             </w:t>
      </w:r>
    </w:p>
    <w:p w:rsidR="00B564E9" w:rsidRDefault="00B564E9" w:rsidP="00B564E9">
      <w:pPr>
        <w:ind w:leftChars="302" w:left="634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六：生态文明法律服务分论坛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1.环境行政执法与司法衔接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2.生态补偿机制的建立及完善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3.生态破坏与环境污染的第三方治理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4.政府信息公开与公众环境知情权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5.对企业建立生态环境安全管理体系的思考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6.论生态环境案件诉讼专家证人制度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7.生态环境案件执行程序第三方监督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8.环境公益诉讼原告主体研究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9.地方生态环境法规体系构建及完善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10.环境行政强制相关问题研究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11.河长制与政府环境质量责任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12.环境公益诉讼律师收费机制探析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13.环境行政执法中的律师参与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14.律师法律服务与生态文明建设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15.环境司法专门化对律师法律服务的新要求</w:t>
      </w:r>
    </w:p>
    <w:p w:rsidR="00B564E9" w:rsidRDefault="00B564E9" w:rsidP="00B564E9">
      <w:pPr>
        <w:ind w:leftChars="302" w:left="634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七：律师行业管理经验交流座谈会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1.律师行业“两结合”管理的实践和经验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2.律师行业党建与行业自律管理的实践和经验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3.律师协会落实“两拥护”的经验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4.律师协会实习管理的实践和经验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5.律师协会维权中心与投诉中心的实践与经验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6.律师协会服务会员的经验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7.律师协会在律师继续教育工作中的经验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8.如何防范律师行业“加班文化”蔓延及律师“过劳死”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问题</w:t>
      </w:r>
    </w:p>
    <w:p w:rsidR="00B564E9" w:rsidRDefault="00B564E9" w:rsidP="00B564E9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9.法律职业共同体构建机制中律师流动机制与保障</w:t>
      </w:r>
    </w:p>
    <w:p w:rsidR="00C12018" w:rsidRPr="00B564E9" w:rsidRDefault="00B564E9"/>
    <w:sectPr w:rsidR="00C12018" w:rsidRPr="00B56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E9"/>
    <w:rsid w:val="005D1725"/>
    <w:rsid w:val="00B564E9"/>
    <w:rsid w:val="00CA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652F6-4181-41B5-BB09-55FE9163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hdkefu3</dc:creator>
  <cp:keywords/>
  <dc:description/>
  <cp:lastModifiedBy>hdkefu3</cp:lastModifiedBy>
  <cp:revision>1</cp:revision>
  <dcterms:created xsi:type="dcterms:W3CDTF">2017-05-18T09:04:00Z</dcterms:created>
  <dcterms:modified xsi:type="dcterms:W3CDTF">2017-05-18T09:04:00Z</dcterms:modified>
</cp:coreProperties>
</file>